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C912" w14:textId="77777777" w:rsidR="00B1583B" w:rsidRDefault="00635BD2">
      <w:pPr>
        <w:rPr>
          <w:rFonts w:ascii="Times New Roman" w:hAnsi="Times New Roman" w:cs="Times New Roman"/>
          <w:sz w:val="20"/>
          <w:szCs w:val="20"/>
        </w:rPr>
      </w:pPr>
      <w:bookmarkStart w:id="0" w:name="_GoBack"/>
      <w:bookmarkEnd w:id="0"/>
      <w:r>
        <w:rPr>
          <w:rFonts w:ascii="Arial" w:hAnsi="Arial" w:cs="Arial"/>
          <w:b/>
          <w:bCs/>
          <w:color w:val="000000"/>
          <w:sz w:val="32"/>
          <w:szCs w:val="32"/>
        </w:rPr>
        <w:t>Socialist Health Association         Audit Report 2018</w:t>
      </w:r>
    </w:p>
    <w:p w14:paraId="0D2F8D1C" w14:textId="77777777" w:rsidR="00B1583B" w:rsidRDefault="00B1583B">
      <w:pPr>
        <w:rPr>
          <w:rFonts w:ascii="Times New Roman" w:eastAsia="Times New Roman" w:hAnsi="Times New Roman" w:cs="Times New Roman"/>
          <w:sz w:val="20"/>
          <w:szCs w:val="20"/>
        </w:rPr>
      </w:pPr>
    </w:p>
    <w:p w14:paraId="74452F47" w14:textId="77777777" w:rsidR="00B1583B" w:rsidRDefault="00B1583B">
      <w:pPr>
        <w:rPr>
          <w:rFonts w:cs="Arial"/>
          <w:color w:val="000000"/>
        </w:rPr>
      </w:pPr>
    </w:p>
    <w:p w14:paraId="1D33BB45" w14:textId="77777777" w:rsidR="00B1583B" w:rsidRDefault="00635BD2">
      <w:pPr>
        <w:rPr>
          <w:rFonts w:ascii="Times New Roman" w:hAnsi="Times New Roman" w:cs="Times New Roman"/>
          <w:sz w:val="20"/>
          <w:szCs w:val="20"/>
        </w:rPr>
      </w:pPr>
      <w:r>
        <w:rPr>
          <w:rFonts w:ascii="Arial" w:hAnsi="Arial" w:cs="Arial"/>
          <w:color w:val="000000"/>
        </w:rPr>
        <w:t xml:space="preserve">The audit was conducted by Mark Ladbrooke and James Gill, lay auditors, on the 18th of April 2019. The financial year of the Socialist Health Association is the calendar year, so the </w:t>
      </w:r>
      <w:r>
        <w:rPr>
          <w:rFonts w:ascii="Arial" w:hAnsi="Arial" w:cs="Arial"/>
          <w:color w:val="000000"/>
        </w:rPr>
        <w:t>auditors examined income and expenditure between 1st January 2018 and 31st December 2018.</w:t>
      </w:r>
    </w:p>
    <w:p w14:paraId="64A3FEEF" w14:textId="77777777" w:rsidR="00B1583B" w:rsidRDefault="00B1583B">
      <w:pPr>
        <w:rPr>
          <w:rFonts w:ascii="Arial" w:eastAsia="Times New Roman" w:hAnsi="Arial" w:cs="Times New Roman"/>
        </w:rPr>
      </w:pPr>
    </w:p>
    <w:p w14:paraId="027811DC" w14:textId="77777777" w:rsidR="00B1583B" w:rsidRDefault="00635BD2">
      <w:pPr>
        <w:rPr>
          <w:rFonts w:ascii="Times New Roman" w:hAnsi="Times New Roman" w:cs="Times New Roman"/>
          <w:sz w:val="20"/>
          <w:szCs w:val="20"/>
        </w:rPr>
      </w:pPr>
      <w:r>
        <w:rPr>
          <w:rFonts w:ascii="Arial" w:hAnsi="Arial" w:cs="Arial"/>
          <w:color w:val="000000"/>
        </w:rPr>
        <w:t>The Socialist Health Association has three accounts: a current account, a savings account, and a PayPal account. Prior to the departure of the SHA Director, the Dire</w:t>
      </w:r>
      <w:r>
        <w:rPr>
          <w:rFonts w:ascii="Arial" w:hAnsi="Arial" w:cs="Arial"/>
          <w:color w:val="000000"/>
        </w:rPr>
        <w:t>ctor was responsible for day-to-day expenditure, with sign-off from the treasurer of amounts over £500. From September 2018, the SHA Chair and Treasurer were the signatories of the current account and savings account, while the PayPal account was controlle</w:t>
      </w:r>
      <w:r>
        <w:rPr>
          <w:rFonts w:ascii="Arial" w:hAnsi="Arial" w:cs="Arial"/>
          <w:color w:val="000000"/>
        </w:rPr>
        <w:t xml:space="preserve">d by the Chair and Ken Smith who is providing admin support. There were a number of difficulties related to the transfer of authority to operate the SHA </w:t>
      </w:r>
      <w:proofErr w:type="gramStart"/>
      <w:r>
        <w:rPr>
          <w:rFonts w:ascii="Arial" w:hAnsi="Arial" w:cs="Arial"/>
          <w:color w:val="000000"/>
        </w:rPr>
        <w:t>finances</w:t>
      </w:r>
      <w:proofErr w:type="gramEnd"/>
      <w:r>
        <w:rPr>
          <w:rFonts w:ascii="Arial" w:hAnsi="Arial" w:cs="Arial"/>
          <w:color w:val="000000"/>
        </w:rPr>
        <w:t xml:space="preserve"> but they now appear to be resolved.</w:t>
      </w:r>
    </w:p>
    <w:p w14:paraId="5351E223" w14:textId="77777777" w:rsidR="00B1583B" w:rsidRDefault="00B1583B">
      <w:pPr>
        <w:rPr>
          <w:rFonts w:ascii="Arial" w:eastAsia="Times New Roman" w:hAnsi="Arial" w:cs="Times New Roman"/>
        </w:rPr>
      </w:pPr>
    </w:p>
    <w:p w14:paraId="075D41EC" w14:textId="77777777" w:rsidR="00B1583B" w:rsidRDefault="00635BD2">
      <w:pPr>
        <w:rPr>
          <w:rFonts w:ascii="Times New Roman" w:hAnsi="Times New Roman" w:cs="Times New Roman"/>
          <w:sz w:val="20"/>
          <w:szCs w:val="20"/>
        </w:rPr>
      </w:pPr>
      <w:r>
        <w:rPr>
          <w:rFonts w:ascii="Arial" w:hAnsi="Arial" w:cs="Arial"/>
          <w:color w:val="000000"/>
        </w:rPr>
        <w:t>The balances at the end of 2018 stood as follows:</w:t>
      </w:r>
    </w:p>
    <w:p w14:paraId="1FB69FC0" w14:textId="77777777" w:rsidR="00B1583B" w:rsidRDefault="00635BD2">
      <w:pPr>
        <w:numPr>
          <w:ilvl w:val="0"/>
          <w:numId w:val="1"/>
        </w:numPr>
        <w:textAlignment w:val="baseline"/>
        <w:rPr>
          <w:rFonts w:ascii="Arial" w:hAnsi="Arial" w:cs="Arial"/>
          <w:color w:val="000000"/>
          <w:sz w:val="22"/>
          <w:szCs w:val="22"/>
        </w:rPr>
      </w:pPr>
      <w:r>
        <w:rPr>
          <w:rFonts w:ascii="Arial" w:hAnsi="Arial" w:cs="Arial"/>
          <w:color w:val="000000"/>
        </w:rPr>
        <w:t>Savings</w:t>
      </w:r>
      <w:r>
        <w:rPr>
          <w:rFonts w:ascii="Arial" w:hAnsi="Arial" w:cs="Arial"/>
          <w:color w:val="000000"/>
        </w:rPr>
        <w:t>: £30,931.65 (up £3,009.37 from £27,922.28 at the end of 2017)</w:t>
      </w:r>
    </w:p>
    <w:p w14:paraId="3C1B5840" w14:textId="77777777" w:rsidR="00B1583B" w:rsidRDefault="00635BD2">
      <w:pPr>
        <w:numPr>
          <w:ilvl w:val="0"/>
          <w:numId w:val="1"/>
        </w:numPr>
        <w:textAlignment w:val="baseline"/>
        <w:rPr>
          <w:rFonts w:ascii="Arial" w:hAnsi="Arial" w:cs="Arial"/>
          <w:color w:val="000000"/>
          <w:sz w:val="22"/>
          <w:szCs w:val="22"/>
        </w:rPr>
      </w:pPr>
      <w:r>
        <w:rPr>
          <w:rFonts w:ascii="Arial" w:hAnsi="Arial" w:cs="Arial"/>
          <w:color w:val="000000"/>
        </w:rPr>
        <w:t>Current: £709.08 (down £287.36 from £996.44 at the end of 2017)</w:t>
      </w:r>
    </w:p>
    <w:p w14:paraId="00155E61" w14:textId="77777777" w:rsidR="00B1583B" w:rsidRDefault="00635BD2">
      <w:pPr>
        <w:numPr>
          <w:ilvl w:val="0"/>
          <w:numId w:val="1"/>
        </w:numPr>
        <w:textAlignment w:val="baseline"/>
        <w:rPr>
          <w:rFonts w:ascii="Arial" w:hAnsi="Arial" w:cs="Arial"/>
          <w:color w:val="000000"/>
          <w:sz w:val="22"/>
          <w:szCs w:val="22"/>
        </w:rPr>
      </w:pPr>
      <w:proofErr w:type="spellStart"/>
      <w:r>
        <w:rPr>
          <w:rFonts w:ascii="Arial" w:hAnsi="Arial" w:cs="Arial"/>
          <w:color w:val="000000"/>
        </w:rPr>
        <w:t>Paypal</w:t>
      </w:r>
      <w:proofErr w:type="spellEnd"/>
      <w:r>
        <w:rPr>
          <w:rFonts w:ascii="Arial" w:hAnsi="Arial" w:cs="Arial"/>
          <w:color w:val="000000"/>
        </w:rPr>
        <w:t>: £1,765.02 (up £1,583.06 from £181.96 at the end of 2017)</w:t>
      </w:r>
    </w:p>
    <w:p w14:paraId="4ED25B85" w14:textId="77777777" w:rsidR="00B1583B" w:rsidRDefault="00B1583B">
      <w:pPr>
        <w:rPr>
          <w:rFonts w:ascii="Arial" w:eastAsia="Times New Roman" w:hAnsi="Arial" w:cs="Times New Roman"/>
        </w:rPr>
      </w:pPr>
    </w:p>
    <w:p w14:paraId="770DE491" w14:textId="77777777" w:rsidR="00B1583B" w:rsidRDefault="00635BD2">
      <w:pPr>
        <w:rPr>
          <w:rFonts w:ascii="Times New Roman" w:hAnsi="Times New Roman" w:cs="Times New Roman"/>
          <w:sz w:val="20"/>
          <w:szCs w:val="20"/>
        </w:rPr>
      </w:pPr>
      <w:r>
        <w:rPr>
          <w:rFonts w:ascii="Arial" w:hAnsi="Arial" w:cs="Arial"/>
          <w:color w:val="000000"/>
        </w:rPr>
        <w:t>The overall increase in cash at bank was £4,305.07.</w:t>
      </w:r>
    </w:p>
    <w:p w14:paraId="6B0681B0" w14:textId="77777777" w:rsidR="00B1583B" w:rsidRDefault="00B1583B">
      <w:pPr>
        <w:rPr>
          <w:rFonts w:ascii="Arial" w:eastAsia="Times New Roman" w:hAnsi="Arial" w:cs="Times New Roman"/>
        </w:rPr>
      </w:pPr>
    </w:p>
    <w:p w14:paraId="73AA363E" w14:textId="77777777" w:rsidR="00B1583B" w:rsidRDefault="00635BD2">
      <w:pPr>
        <w:rPr>
          <w:rFonts w:ascii="Times New Roman" w:hAnsi="Times New Roman" w:cs="Times New Roman"/>
          <w:sz w:val="20"/>
          <w:szCs w:val="20"/>
        </w:rPr>
      </w:pPr>
      <w:r>
        <w:rPr>
          <w:rFonts w:ascii="Arial" w:hAnsi="Arial" w:cs="Arial"/>
          <w:color w:val="000000"/>
        </w:rPr>
        <w:t>The audito</w:t>
      </w:r>
      <w:r>
        <w:rPr>
          <w:rFonts w:ascii="Arial" w:hAnsi="Arial" w:cs="Arial"/>
          <w:color w:val="000000"/>
        </w:rPr>
        <w:t>rs recommended that normally any balance over £500 in the PayPal account at the end of the month should be transferred to the current account.</w:t>
      </w:r>
    </w:p>
    <w:p w14:paraId="63EFEBB9" w14:textId="77777777" w:rsidR="00B1583B" w:rsidRDefault="00B1583B">
      <w:pPr>
        <w:rPr>
          <w:rFonts w:ascii="Arial" w:eastAsia="Times New Roman" w:hAnsi="Arial" w:cs="Times New Roman"/>
        </w:rPr>
      </w:pPr>
    </w:p>
    <w:p w14:paraId="0632F426" w14:textId="77777777" w:rsidR="00B1583B" w:rsidRDefault="00B1583B">
      <w:pPr>
        <w:rPr>
          <w:rFonts w:ascii="Arial" w:hAnsi="Arial" w:cs="Arial"/>
          <w:color w:val="000000"/>
        </w:rPr>
      </w:pPr>
    </w:p>
    <w:p w14:paraId="6BCD0468" w14:textId="77777777" w:rsidR="00B1583B" w:rsidRDefault="00635BD2">
      <w:pPr>
        <w:rPr>
          <w:rFonts w:ascii="Times New Roman" w:hAnsi="Times New Roman" w:cs="Times New Roman"/>
          <w:sz w:val="20"/>
          <w:szCs w:val="20"/>
        </w:rPr>
      </w:pPr>
      <w:r>
        <w:rPr>
          <w:rFonts w:ascii="Arial" w:hAnsi="Arial" w:cs="Arial"/>
          <w:b/>
          <w:bCs/>
          <w:color w:val="000000"/>
          <w:sz w:val="28"/>
          <w:szCs w:val="28"/>
        </w:rPr>
        <w:t>Expenditure</w:t>
      </w:r>
    </w:p>
    <w:p w14:paraId="332F093C" w14:textId="77777777" w:rsidR="00B1583B" w:rsidRDefault="00B1583B">
      <w:pPr>
        <w:rPr>
          <w:rFonts w:ascii="Times New Roman" w:eastAsia="Times New Roman" w:hAnsi="Times New Roman" w:cs="Times New Roman"/>
          <w:sz w:val="28"/>
          <w:szCs w:val="28"/>
        </w:rPr>
      </w:pPr>
    </w:p>
    <w:p w14:paraId="2E821B97" w14:textId="77777777" w:rsidR="00B1583B" w:rsidRDefault="00635BD2">
      <w:pPr>
        <w:rPr>
          <w:rFonts w:ascii="Times New Roman" w:hAnsi="Times New Roman" w:cs="Times New Roman"/>
          <w:sz w:val="20"/>
          <w:szCs w:val="20"/>
        </w:rPr>
      </w:pPr>
      <w:r>
        <w:rPr>
          <w:rFonts w:ascii="Arial" w:hAnsi="Arial" w:cs="Arial"/>
          <w:color w:val="000000"/>
        </w:rPr>
        <w:t>The auditors were provided with electronic transaction records for all three accounts. The auditor</w:t>
      </w:r>
      <w:r>
        <w:rPr>
          <w:rFonts w:ascii="Arial" w:hAnsi="Arial" w:cs="Arial"/>
          <w:color w:val="000000"/>
        </w:rPr>
        <w:t>s reviewed paper documentation for the largest expenditures, cheques, and a sample of other expenditures. The auditors were satisfied with the records available. </w:t>
      </w:r>
    </w:p>
    <w:p w14:paraId="50692CB2" w14:textId="77777777" w:rsidR="00B1583B" w:rsidRDefault="00B1583B">
      <w:pPr>
        <w:rPr>
          <w:rFonts w:ascii="Times New Roman" w:eastAsia="Times New Roman" w:hAnsi="Times New Roman" w:cs="Times New Roman"/>
        </w:rPr>
      </w:pPr>
    </w:p>
    <w:p w14:paraId="6DE49562" w14:textId="77777777" w:rsidR="00B1583B" w:rsidRDefault="00635BD2">
      <w:pPr>
        <w:rPr>
          <w:rFonts w:ascii="Times New Roman" w:hAnsi="Times New Roman" w:cs="Times New Roman"/>
          <w:sz w:val="20"/>
          <w:szCs w:val="20"/>
        </w:rPr>
      </w:pPr>
      <w:r>
        <w:rPr>
          <w:rFonts w:ascii="Arial" w:hAnsi="Arial" w:cs="Arial"/>
          <w:color w:val="000000"/>
        </w:rPr>
        <w:t>Receipts are not collected for travel expenses paid to central council members attending cen</w:t>
      </w:r>
      <w:r>
        <w:rPr>
          <w:rFonts w:ascii="Arial" w:hAnsi="Arial" w:cs="Arial"/>
          <w:color w:val="000000"/>
        </w:rPr>
        <w:t xml:space="preserve">tral council meetings. Given this expenditure amounted to more than £2,000 in 2018, </w:t>
      </w:r>
      <w:r>
        <w:rPr>
          <w:rFonts w:ascii="Arial" w:hAnsi="Arial" w:cs="Arial"/>
          <w:b/>
          <w:bCs/>
          <w:color w:val="000000"/>
        </w:rPr>
        <w:t xml:space="preserve">it is recommended that Central Council review the expenses policy and options to reduce the cost of Central Council </w:t>
      </w:r>
      <w:r>
        <w:rPr>
          <w:rFonts w:ascii="Arial" w:hAnsi="Arial" w:cs="Arial"/>
          <w:color w:val="000000"/>
        </w:rPr>
        <w:t xml:space="preserve">while recognising that transactions are </w:t>
      </w:r>
      <w:r>
        <w:rPr>
          <w:rFonts w:ascii="Arial" w:hAnsi="Arial" w:cs="Arial"/>
          <w:color w:val="000000"/>
        </w:rPr>
        <w:t>increasingly paperless so provision of receipts may be difficult. </w:t>
      </w:r>
    </w:p>
    <w:p w14:paraId="7543BFF1" w14:textId="77777777" w:rsidR="00B1583B" w:rsidRDefault="00B1583B">
      <w:pPr>
        <w:rPr>
          <w:rFonts w:ascii="Times New Roman" w:eastAsia="Times New Roman" w:hAnsi="Times New Roman" w:cs="Times New Roman"/>
        </w:rPr>
      </w:pPr>
    </w:p>
    <w:p w14:paraId="43277DC2" w14:textId="77777777" w:rsidR="00B1583B" w:rsidRDefault="00635BD2">
      <w:pPr>
        <w:rPr>
          <w:rFonts w:ascii="Times New Roman" w:hAnsi="Times New Roman" w:cs="Times New Roman"/>
          <w:sz w:val="20"/>
          <w:szCs w:val="20"/>
        </w:rPr>
      </w:pPr>
      <w:r>
        <w:rPr>
          <w:rFonts w:ascii="Arial" w:hAnsi="Arial" w:cs="Arial"/>
          <w:color w:val="000000"/>
        </w:rPr>
        <w:t xml:space="preserve">The auditors were made aware of an incident in which a branch incurred a significant cost which was invoiced to the national SHA. We wish to emphasise that branches </w:t>
      </w:r>
      <w:r>
        <w:rPr>
          <w:rFonts w:ascii="Arial" w:hAnsi="Arial" w:cs="Arial"/>
          <w:b/>
          <w:bCs/>
          <w:color w:val="000000"/>
        </w:rPr>
        <w:t xml:space="preserve">must not </w:t>
      </w:r>
      <w:r>
        <w:rPr>
          <w:rFonts w:ascii="Arial" w:hAnsi="Arial" w:cs="Arial"/>
          <w:color w:val="000000"/>
        </w:rPr>
        <w:t>do this. If br</w:t>
      </w:r>
      <w:r>
        <w:rPr>
          <w:rFonts w:ascii="Arial" w:hAnsi="Arial" w:cs="Arial"/>
          <w:color w:val="000000"/>
        </w:rPr>
        <w:t xml:space="preserve">anches wish to expend more than they raise locally, they must approach the national officers </w:t>
      </w:r>
      <w:r>
        <w:rPr>
          <w:rFonts w:ascii="Arial" w:hAnsi="Arial" w:cs="Arial"/>
          <w:b/>
          <w:bCs/>
          <w:color w:val="000000"/>
        </w:rPr>
        <w:t>in advance</w:t>
      </w:r>
      <w:r>
        <w:rPr>
          <w:rFonts w:ascii="Arial" w:hAnsi="Arial" w:cs="Arial"/>
          <w:color w:val="000000"/>
        </w:rPr>
        <w:t xml:space="preserve">. </w:t>
      </w:r>
      <w:r>
        <w:rPr>
          <w:rFonts w:ascii="Arial" w:hAnsi="Arial" w:cs="Arial"/>
          <w:b/>
          <w:bCs/>
          <w:color w:val="000000"/>
        </w:rPr>
        <w:t>The Governance Review may wish to review the financial relationship between the branches and centre. </w:t>
      </w:r>
    </w:p>
    <w:p w14:paraId="5D104308" w14:textId="77777777" w:rsidR="00B1583B" w:rsidRDefault="00B1583B">
      <w:pPr>
        <w:rPr>
          <w:rFonts w:ascii="Times New Roman" w:eastAsia="Times New Roman" w:hAnsi="Times New Roman" w:cs="Times New Roman"/>
        </w:rPr>
      </w:pPr>
    </w:p>
    <w:p w14:paraId="53E875A7" w14:textId="77777777" w:rsidR="00B1583B" w:rsidRDefault="00635BD2">
      <w:pPr>
        <w:rPr>
          <w:rFonts w:ascii="Times New Roman" w:hAnsi="Times New Roman" w:cs="Times New Roman"/>
          <w:sz w:val="20"/>
          <w:szCs w:val="20"/>
        </w:rPr>
      </w:pPr>
      <w:r>
        <w:rPr>
          <w:rFonts w:ascii="Arial" w:hAnsi="Arial" w:cs="Arial"/>
          <w:color w:val="000000"/>
        </w:rPr>
        <w:t>Since September, the officers have paid an indiv</w:t>
      </w:r>
      <w:r>
        <w:rPr>
          <w:rFonts w:ascii="Arial" w:hAnsi="Arial" w:cs="Arial"/>
          <w:color w:val="000000"/>
        </w:rPr>
        <w:t>idual to undertake administrative duties. This was an emergency measure and we recommend the officers make long term staffing proposals.  In passing we should thank Ken Smith who has undertaken his duties with admirable efficiency, dedication and has provi</w:t>
      </w:r>
      <w:r>
        <w:rPr>
          <w:rFonts w:ascii="Arial" w:hAnsi="Arial" w:cs="Arial"/>
          <w:color w:val="000000"/>
        </w:rPr>
        <w:t>ded us with invaluable summary information.</w:t>
      </w:r>
    </w:p>
    <w:p w14:paraId="17F66927" w14:textId="77777777" w:rsidR="00B1583B" w:rsidRDefault="00B1583B">
      <w:pPr>
        <w:rPr>
          <w:rFonts w:ascii="Times New Roman" w:eastAsia="Times New Roman" w:hAnsi="Times New Roman" w:cs="Times New Roman"/>
        </w:rPr>
      </w:pPr>
    </w:p>
    <w:p w14:paraId="632CBCB5" w14:textId="77777777" w:rsidR="00B1583B" w:rsidRDefault="00635BD2">
      <w:pPr>
        <w:rPr>
          <w:rFonts w:ascii="Times New Roman" w:hAnsi="Times New Roman" w:cs="Times New Roman"/>
          <w:sz w:val="20"/>
          <w:szCs w:val="20"/>
        </w:rPr>
      </w:pPr>
      <w:r>
        <w:rPr>
          <w:rFonts w:ascii="Arial" w:hAnsi="Arial" w:cs="Arial"/>
          <w:color w:val="000000"/>
        </w:rPr>
        <w:lastRenderedPageBreak/>
        <w:t>The officers informed the auditors that two significant expenditures incurred in 2018, totalling approximately £5,200, were not paid out in 2018 and will instead appear in the 2019 accounts.</w:t>
      </w:r>
    </w:p>
    <w:p w14:paraId="465046CB" w14:textId="77777777" w:rsidR="00B1583B" w:rsidRDefault="00B1583B">
      <w:pPr>
        <w:rPr>
          <w:rFonts w:ascii="Times New Roman" w:eastAsia="Times New Roman" w:hAnsi="Times New Roman" w:cs="Times New Roman"/>
        </w:rPr>
      </w:pPr>
    </w:p>
    <w:p w14:paraId="10B8A7D3" w14:textId="77777777" w:rsidR="00B1583B" w:rsidRDefault="00635BD2">
      <w:r>
        <w:rPr>
          <w:rFonts w:ascii="Arial" w:hAnsi="Arial" w:cs="Arial"/>
          <w:color w:val="000000"/>
        </w:rPr>
        <w:t xml:space="preserve">Transactions are recorded on a legacy database that has been in use since around 2001. This database appears to be </w:t>
      </w:r>
      <w:proofErr w:type="gramStart"/>
      <w:r>
        <w:rPr>
          <w:rFonts w:ascii="Arial" w:hAnsi="Arial" w:cs="Arial"/>
          <w:color w:val="000000"/>
        </w:rPr>
        <w:t>overly-complex</w:t>
      </w:r>
      <w:proofErr w:type="gramEnd"/>
      <w:r>
        <w:rPr>
          <w:rFonts w:ascii="Arial" w:hAnsi="Arial" w:cs="Arial"/>
          <w:color w:val="000000"/>
        </w:rPr>
        <w:t xml:space="preserve"> and not to have user or technical documentation. It may be no longer fit for purpose. </w:t>
      </w:r>
      <w:r>
        <w:rPr>
          <w:rFonts w:ascii="Arial" w:hAnsi="Arial" w:cs="Arial"/>
          <w:b/>
          <w:bCs/>
          <w:color w:val="000000"/>
        </w:rPr>
        <w:t>We recommend the officers investigate re</w:t>
      </w:r>
      <w:r>
        <w:rPr>
          <w:rFonts w:ascii="Arial" w:hAnsi="Arial" w:cs="Arial"/>
          <w:b/>
          <w:bCs/>
          <w:color w:val="000000"/>
        </w:rPr>
        <w:t>placing this system with a modern book-keeping system.</w:t>
      </w:r>
    </w:p>
    <w:p w14:paraId="170B0779" w14:textId="77777777" w:rsidR="00B1583B" w:rsidRDefault="00B1583B">
      <w:pPr>
        <w:rPr>
          <w:rFonts w:ascii="Times New Roman" w:hAnsi="Times New Roman" w:cs="Times New Roman"/>
          <w:b/>
          <w:bCs/>
          <w:color w:val="000000"/>
        </w:rPr>
      </w:pPr>
    </w:p>
    <w:p w14:paraId="1D2A5AD1" w14:textId="77777777" w:rsidR="00B1583B" w:rsidRDefault="00B1583B">
      <w:pPr>
        <w:rPr>
          <w:rFonts w:ascii="Arial" w:hAnsi="Arial" w:cs="Arial"/>
          <w:b/>
          <w:bCs/>
          <w:color w:val="000000"/>
        </w:rPr>
      </w:pPr>
    </w:p>
    <w:p w14:paraId="7CEABDB1" w14:textId="77777777" w:rsidR="00B1583B" w:rsidRDefault="00635BD2">
      <w:pPr>
        <w:rPr>
          <w:sz w:val="28"/>
          <w:szCs w:val="28"/>
        </w:rPr>
      </w:pPr>
      <w:r>
        <w:rPr>
          <w:rFonts w:ascii="Arial" w:hAnsi="Arial" w:cs="Arial"/>
          <w:b/>
          <w:bCs/>
          <w:color w:val="000000"/>
          <w:sz w:val="28"/>
          <w:szCs w:val="28"/>
        </w:rPr>
        <w:t>Income</w:t>
      </w:r>
    </w:p>
    <w:p w14:paraId="547C313A" w14:textId="77777777" w:rsidR="00B1583B" w:rsidRDefault="00B1583B">
      <w:pPr>
        <w:rPr>
          <w:rFonts w:ascii="Times New Roman" w:eastAsia="Times New Roman" w:hAnsi="Times New Roman" w:cs="Times New Roman"/>
        </w:rPr>
      </w:pPr>
    </w:p>
    <w:p w14:paraId="3B7956B6" w14:textId="77777777" w:rsidR="00B1583B" w:rsidRDefault="00635BD2">
      <w:pPr>
        <w:rPr>
          <w:rFonts w:ascii="Times New Roman" w:hAnsi="Times New Roman" w:cs="Times New Roman"/>
          <w:sz w:val="20"/>
          <w:szCs w:val="20"/>
        </w:rPr>
      </w:pPr>
      <w:r>
        <w:rPr>
          <w:rFonts w:ascii="Arial" w:hAnsi="Arial" w:cs="Arial"/>
          <w:color w:val="000000"/>
        </w:rPr>
        <w:t>The legacy book-keeping system is also used to manage membership information, and so its inadequacy particularly undermines accurate budgeting of membership income. Officers informed the audi</w:t>
      </w:r>
      <w:r>
        <w:rPr>
          <w:rFonts w:ascii="Arial" w:hAnsi="Arial" w:cs="Arial"/>
          <w:color w:val="000000"/>
        </w:rPr>
        <w:t>tors that the association has around 1,270 members according to the database. The auditors were able to identify around 1,050 payments of membership subscriptions in 2018 though not all were at the correct £10 or £25 rates. The discrepancy may be accounted</w:t>
      </w:r>
      <w:r>
        <w:rPr>
          <w:rFonts w:ascii="Arial" w:hAnsi="Arial" w:cs="Arial"/>
          <w:color w:val="000000"/>
        </w:rPr>
        <w:t xml:space="preserve"> for by lapsed members, members paying by cheque or cash, or by honorary or life members. While this is partly out of our </w:t>
      </w:r>
      <w:proofErr w:type="gramStart"/>
      <w:r>
        <w:rPr>
          <w:rFonts w:ascii="Arial" w:hAnsi="Arial" w:cs="Arial"/>
          <w:color w:val="000000"/>
        </w:rPr>
        <w:t>scope</w:t>
      </w:r>
      <w:proofErr w:type="gramEnd"/>
      <w:r>
        <w:rPr>
          <w:rFonts w:ascii="Arial" w:hAnsi="Arial" w:cs="Arial"/>
          <w:color w:val="000000"/>
        </w:rPr>
        <w:t xml:space="preserve"> </w:t>
      </w:r>
      <w:r>
        <w:rPr>
          <w:rFonts w:ascii="Arial" w:hAnsi="Arial" w:cs="Arial"/>
          <w:b/>
          <w:bCs/>
          <w:color w:val="000000"/>
        </w:rPr>
        <w:t xml:space="preserve">we urge the Central Council to address this membership record issue with some urgency, </w:t>
      </w:r>
      <w:r>
        <w:rPr>
          <w:rFonts w:ascii="Arial" w:hAnsi="Arial" w:cs="Arial"/>
          <w:color w:val="000000"/>
        </w:rPr>
        <w:t>as it undermines both the financial and d</w:t>
      </w:r>
      <w:r>
        <w:rPr>
          <w:rFonts w:ascii="Arial" w:hAnsi="Arial" w:cs="Arial"/>
          <w:color w:val="000000"/>
        </w:rPr>
        <w:t>emocratic integrity of the association.</w:t>
      </w:r>
    </w:p>
    <w:p w14:paraId="39005963" w14:textId="77777777" w:rsidR="00B1583B" w:rsidRDefault="00B1583B">
      <w:pPr>
        <w:rPr>
          <w:rFonts w:ascii="Arial" w:eastAsia="Times New Roman" w:hAnsi="Arial" w:cs="Times New Roman"/>
        </w:rPr>
      </w:pPr>
    </w:p>
    <w:p w14:paraId="5D71F990" w14:textId="77777777" w:rsidR="00B1583B" w:rsidRDefault="00635BD2">
      <w:pPr>
        <w:rPr>
          <w:rFonts w:ascii="Times New Roman" w:hAnsi="Times New Roman" w:cs="Times New Roman"/>
          <w:sz w:val="20"/>
          <w:szCs w:val="20"/>
        </w:rPr>
      </w:pPr>
      <w:r>
        <w:rPr>
          <w:rFonts w:ascii="Arial" w:hAnsi="Arial" w:cs="Arial"/>
          <w:color w:val="000000"/>
        </w:rPr>
        <w:t>The officers provided the auditors with assurance that they are working towards being able to present accurate membership records within three months of the date of the audit. A decision will need to be made regardi</w:t>
      </w:r>
      <w:r>
        <w:rPr>
          <w:rFonts w:ascii="Arial" w:hAnsi="Arial" w:cs="Arial"/>
          <w:color w:val="000000"/>
        </w:rPr>
        <w:t>ng those who are not paying current membership rates. </w:t>
      </w:r>
    </w:p>
    <w:p w14:paraId="787FF7E7" w14:textId="77777777" w:rsidR="00B1583B" w:rsidRDefault="00B1583B">
      <w:pPr>
        <w:rPr>
          <w:rFonts w:ascii="Arial" w:eastAsia="Times New Roman" w:hAnsi="Arial" w:cs="Times New Roman"/>
        </w:rPr>
      </w:pPr>
    </w:p>
    <w:p w14:paraId="60565D04" w14:textId="77777777" w:rsidR="00B1583B" w:rsidRDefault="00635BD2">
      <w:pPr>
        <w:rPr>
          <w:rFonts w:ascii="Times New Roman" w:hAnsi="Times New Roman" w:cs="Times New Roman"/>
          <w:sz w:val="20"/>
          <w:szCs w:val="20"/>
        </w:rPr>
      </w:pPr>
      <w:r>
        <w:rPr>
          <w:rFonts w:ascii="Arial" w:hAnsi="Arial" w:cs="Arial"/>
          <w:color w:val="000000"/>
        </w:rPr>
        <w:t xml:space="preserve">The auditors note that the procedure to call a Special General Meeting </w:t>
      </w:r>
      <w:r>
        <w:rPr>
          <w:rFonts w:ascii="Arial" w:hAnsi="Arial" w:cs="Arial"/>
          <w:b/>
          <w:bCs/>
          <w:color w:val="000000"/>
        </w:rPr>
        <w:t>can</w:t>
      </w:r>
      <w:r>
        <w:rPr>
          <w:rFonts w:ascii="Arial" w:hAnsi="Arial" w:cs="Arial"/>
          <w:color w:val="000000"/>
        </w:rPr>
        <w:t xml:space="preserve"> still be followed in the interim, for example by verifying membership payments directly against the current account or PayPal</w:t>
      </w:r>
      <w:r>
        <w:rPr>
          <w:rFonts w:ascii="Arial" w:hAnsi="Arial" w:cs="Arial"/>
          <w:color w:val="000000"/>
        </w:rPr>
        <w:t xml:space="preserve"> records.</w:t>
      </w:r>
    </w:p>
    <w:p w14:paraId="6C3B4548" w14:textId="77777777" w:rsidR="00B1583B" w:rsidRDefault="00B1583B">
      <w:pPr>
        <w:rPr>
          <w:rFonts w:ascii="Arial" w:eastAsia="Times New Roman" w:hAnsi="Arial" w:cs="Times New Roman"/>
        </w:rPr>
      </w:pPr>
    </w:p>
    <w:p w14:paraId="38DDCB66" w14:textId="77777777" w:rsidR="00B1583B" w:rsidRDefault="00635BD2">
      <w:pPr>
        <w:rPr>
          <w:rFonts w:ascii="Times New Roman" w:hAnsi="Times New Roman" w:cs="Times New Roman"/>
          <w:sz w:val="20"/>
          <w:szCs w:val="20"/>
        </w:rPr>
      </w:pPr>
      <w:r>
        <w:rPr>
          <w:rFonts w:ascii="Arial" w:hAnsi="Arial" w:cs="Arial"/>
          <w:color w:val="000000"/>
        </w:rPr>
        <w:t>The auditors note with regret that UNISON did not renew its affiliation at a national level with the SHA in 2018. </w:t>
      </w:r>
    </w:p>
    <w:p w14:paraId="2FD0E5CB" w14:textId="77777777" w:rsidR="00B1583B" w:rsidRDefault="00B1583B">
      <w:pPr>
        <w:rPr>
          <w:rFonts w:ascii="Times New Roman" w:eastAsia="Times New Roman" w:hAnsi="Times New Roman" w:cs="Times New Roman"/>
        </w:rPr>
      </w:pPr>
    </w:p>
    <w:p w14:paraId="7C0C5923" w14:textId="77777777" w:rsidR="00B1583B" w:rsidRDefault="00B1583B">
      <w:pPr>
        <w:rPr>
          <w:rFonts w:ascii="Arial" w:hAnsi="Arial" w:cs="Arial"/>
          <w:color w:val="000000"/>
        </w:rPr>
      </w:pPr>
    </w:p>
    <w:p w14:paraId="00C47CFE" w14:textId="77777777" w:rsidR="00B1583B" w:rsidRDefault="00635BD2">
      <w:pPr>
        <w:rPr>
          <w:rFonts w:ascii="Times New Roman" w:hAnsi="Times New Roman" w:cs="Times New Roman"/>
          <w:sz w:val="20"/>
          <w:szCs w:val="20"/>
        </w:rPr>
      </w:pPr>
      <w:r>
        <w:rPr>
          <w:rFonts w:ascii="Arial" w:hAnsi="Arial" w:cs="Arial"/>
          <w:b/>
          <w:bCs/>
          <w:color w:val="000000"/>
          <w:sz w:val="28"/>
          <w:szCs w:val="28"/>
        </w:rPr>
        <w:t>Budgeting and Reporting</w:t>
      </w:r>
    </w:p>
    <w:p w14:paraId="0CFBD7B2" w14:textId="77777777" w:rsidR="00B1583B" w:rsidRDefault="00B1583B">
      <w:pPr>
        <w:rPr>
          <w:rFonts w:ascii="Times New Roman" w:eastAsia="Times New Roman" w:hAnsi="Times New Roman" w:cs="Times New Roman"/>
          <w:b/>
          <w:bCs/>
          <w:sz w:val="28"/>
          <w:szCs w:val="28"/>
        </w:rPr>
      </w:pPr>
    </w:p>
    <w:p w14:paraId="348E7CB7" w14:textId="77777777" w:rsidR="00B1583B" w:rsidRDefault="00635BD2">
      <w:pPr>
        <w:rPr>
          <w:rFonts w:ascii="Times New Roman" w:hAnsi="Times New Roman" w:cs="Times New Roman"/>
          <w:sz w:val="20"/>
          <w:szCs w:val="20"/>
        </w:rPr>
      </w:pPr>
      <w:r>
        <w:rPr>
          <w:rFonts w:ascii="Arial" w:hAnsi="Arial" w:cs="Arial"/>
          <w:color w:val="000000"/>
        </w:rPr>
        <w:t xml:space="preserve">The officers did not present us with a financial plan or budgets for the 2018 or 2019 </w:t>
      </w:r>
      <w:r>
        <w:rPr>
          <w:rFonts w:ascii="Arial" w:hAnsi="Arial" w:cs="Arial"/>
          <w:color w:val="000000"/>
        </w:rPr>
        <w:t>financial years. The auditors recommend the officers should prepare an outline financial plan for 2019 as a matter of urgency and present this to the Central Council.</w:t>
      </w:r>
    </w:p>
    <w:p w14:paraId="59534E89" w14:textId="77777777" w:rsidR="00B1583B" w:rsidRDefault="00B1583B">
      <w:pPr>
        <w:rPr>
          <w:rFonts w:ascii="Times New Roman" w:eastAsia="Times New Roman" w:hAnsi="Times New Roman" w:cs="Times New Roman"/>
        </w:rPr>
      </w:pPr>
    </w:p>
    <w:p w14:paraId="6BF8BBFD" w14:textId="77777777" w:rsidR="00B1583B" w:rsidRDefault="00635BD2">
      <w:pPr>
        <w:rPr>
          <w:rFonts w:ascii="Times New Roman" w:hAnsi="Times New Roman" w:cs="Times New Roman"/>
          <w:sz w:val="20"/>
          <w:szCs w:val="20"/>
        </w:rPr>
      </w:pPr>
      <w:r>
        <w:rPr>
          <w:rFonts w:ascii="Arial" w:hAnsi="Arial" w:cs="Arial"/>
          <w:color w:val="000000"/>
        </w:rPr>
        <w:t>While it has been possible for the auditors to assess the financial position of the Asso</w:t>
      </w:r>
      <w:r>
        <w:rPr>
          <w:rFonts w:ascii="Arial" w:hAnsi="Arial" w:cs="Arial"/>
          <w:color w:val="000000"/>
        </w:rPr>
        <w:t>ciation based on the electronic transaction records of the bank and PayPal account, the book-keeping issues described above prevent the officers from presenting a comprehensive financial analysis to the Central Council. This creates both a risk that the As</w:t>
      </w:r>
      <w:r>
        <w:rPr>
          <w:rFonts w:ascii="Arial" w:hAnsi="Arial" w:cs="Arial"/>
          <w:color w:val="000000"/>
        </w:rPr>
        <w:t xml:space="preserve">sociation’s resources will not be efficiently directed to achieve its objectives, and a risk that changes in expenditure and income will not be detected in a timely fashion. While recognising the complexity and potential cost of replacing the book-keeping </w:t>
      </w:r>
      <w:r>
        <w:rPr>
          <w:rFonts w:ascii="Arial" w:hAnsi="Arial" w:cs="Arial"/>
          <w:color w:val="000000"/>
        </w:rPr>
        <w:t>or membership systems we recommend that the officers move to make progress with this issue as a priority.</w:t>
      </w:r>
    </w:p>
    <w:p w14:paraId="4050D5BE" w14:textId="77777777" w:rsidR="00B1583B" w:rsidRDefault="00B1583B">
      <w:pPr>
        <w:rPr>
          <w:rFonts w:ascii="Times New Roman" w:eastAsia="Times New Roman" w:hAnsi="Times New Roman" w:cs="Times New Roman"/>
        </w:rPr>
      </w:pPr>
    </w:p>
    <w:p w14:paraId="7824A52C" w14:textId="77777777" w:rsidR="00B1583B" w:rsidRDefault="00635BD2">
      <w:pPr>
        <w:rPr>
          <w:b/>
          <w:bCs/>
          <w:sz w:val="28"/>
          <w:szCs w:val="28"/>
        </w:rPr>
      </w:pPr>
      <w:r>
        <w:rPr>
          <w:rFonts w:ascii="Arial" w:hAnsi="Arial" w:cs="Arial"/>
          <w:b/>
          <w:bCs/>
          <w:color w:val="000000"/>
          <w:sz w:val="28"/>
          <w:szCs w:val="28"/>
        </w:rPr>
        <w:t>Summary</w:t>
      </w:r>
    </w:p>
    <w:p w14:paraId="30E1904E" w14:textId="77777777" w:rsidR="00B1583B" w:rsidRDefault="00B1583B">
      <w:pPr>
        <w:rPr>
          <w:rFonts w:ascii="Times New Roman" w:eastAsia="Times New Roman" w:hAnsi="Times New Roman" w:cs="Times New Roman"/>
        </w:rPr>
      </w:pPr>
    </w:p>
    <w:p w14:paraId="5869DBF9" w14:textId="77777777" w:rsidR="00B1583B" w:rsidRDefault="00635BD2">
      <w:pPr>
        <w:rPr>
          <w:rFonts w:ascii="Times New Roman" w:hAnsi="Times New Roman" w:cs="Times New Roman"/>
          <w:sz w:val="20"/>
          <w:szCs w:val="20"/>
        </w:rPr>
      </w:pPr>
      <w:r>
        <w:rPr>
          <w:rFonts w:ascii="Arial" w:hAnsi="Arial" w:cs="Arial"/>
          <w:color w:val="000000"/>
        </w:rPr>
        <w:t xml:space="preserve">The auditors were able to assure the cash at bank figures, income and expenditure. However, the auditors identified </w:t>
      </w:r>
      <w:proofErr w:type="gramStart"/>
      <w:r>
        <w:rPr>
          <w:rFonts w:ascii="Arial" w:hAnsi="Arial" w:cs="Arial"/>
          <w:color w:val="000000"/>
        </w:rPr>
        <w:t>a number of</w:t>
      </w:r>
      <w:proofErr w:type="gramEnd"/>
      <w:r>
        <w:rPr>
          <w:rFonts w:ascii="Arial" w:hAnsi="Arial" w:cs="Arial"/>
          <w:color w:val="000000"/>
        </w:rPr>
        <w:t xml:space="preserve"> risks, in pa</w:t>
      </w:r>
      <w:r>
        <w:rPr>
          <w:rFonts w:ascii="Arial" w:hAnsi="Arial" w:cs="Arial"/>
          <w:color w:val="000000"/>
        </w:rPr>
        <w:t>rticular risks to income.</w:t>
      </w:r>
    </w:p>
    <w:p w14:paraId="7028BEEA" w14:textId="77777777" w:rsidR="00B1583B" w:rsidRDefault="00B1583B">
      <w:pPr>
        <w:rPr>
          <w:rFonts w:ascii="Times New Roman" w:eastAsia="Times New Roman" w:hAnsi="Times New Roman" w:cs="Times New Roman"/>
        </w:rPr>
      </w:pPr>
    </w:p>
    <w:p w14:paraId="66310094" w14:textId="77777777" w:rsidR="00B1583B" w:rsidRDefault="00635BD2">
      <w:pPr>
        <w:rPr>
          <w:rFonts w:ascii="Times New Roman" w:hAnsi="Times New Roman" w:cs="Times New Roman"/>
          <w:sz w:val="20"/>
          <w:szCs w:val="20"/>
        </w:rPr>
      </w:pPr>
      <w:r>
        <w:rPr>
          <w:rFonts w:ascii="Arial" w:hAnsi="Arial" w:cs="Arial"/>
          <w:color w:val="000000"/>
        </w:rPr>
        <w:t>The summary of our recommendations is as follows:</w:t>
      </w:r>
    </w:p>
    <w:p w14:paraId="00F02B6D" w14:textId="77777777" w:rsidR="00B1583B" w:rsidRDefault="00635BD2">
      <w:pPr>
        <w:numPr>
          <w:ilvl w:val="0"/>
          <w:numId w:val="2"/>
        </w:numPr>
        <w:textAlignment w:val="baseline"/>
        <w:rPr>
          <w:rFonts w:ascii="Arial" w:hAnsi="Arial" w:cs="Arial"/>
          <w:color w:val="000000"/>
          <w:sz w:val="22"/>
          <w:szCs w:val="22"/>
        </w:rPr>
      </w:pPr>
      <w:r>
        <w:rPr>
          <w:rFonts w:ascii="Arial" w:hAnsi="Arial" w:cs="Arial"/>
          <w:color w:val="000000"/>
        </w:rPr>
        <w:t>That any balance over £500 in the PayPal account at the end of the month should normally be transferred to the current account.</w:t>
      </w:r>
    </w:p>
    <w:p w14:paraId="18BE992A" w14:textId="77777777" w:rsidR="00B1583B" w:rsidRDefault="00635BD2">
      <w:pPr>
        <w:numPr>
          <w:ilvl w:val="0"/>
          <w:numId w:val="2"/>
        </w:numPr>
        <w:textAlignment w:val="baseline"/>
        <w:rPr>
          <w:rFonts w:ascii="Arial" w:hAnsi="Arial" w:cs="Arial"/>
          <w:color w:val="000000"/>
          <w:sz w:val="22"/>
          <w:szCs w:val="22"/>
        </w:rPr>
      </w:pPr>
      <w:r>
        <w:rPr>
          <w:rFonts w:ascii="Arial" w:hAnsi="Arial" w:cs="Arial"/>
          <w:color w:val="000000"/>
        </w:rPr>
        <w:t>Authorisation protocols and systems on the main ban</w:t>
      </w:r>
      <w:r>
        <w:rPr>
          <w:rFonts w:ascii="Arial" w:hAnsi="Arial" w:cs="Arial"/>
          <w:color w:val="000000"/>
        </w:rPr>
        <w:t>k account are reviewed by the Governance Review Group.</w:t>
      </w:r>
    </w:p>
    <w:p w14:paraId="6306AC4F" w14:textId="77777777" w:rsidR="00B1583B" w:rsidRDefault="00635BD2">
      <w:pPr>
        <w:numPr>
          <w:ilvl w:val="0"/>
          <w:numId w:val="2"/>
        </w:numPr>
        <w:textAlignment w:val="baseline"/>
        <w:rPr>
          <w:rFonts w:ascii="Arial" w:hAnsi="Arial" w:cs="Arial"/>
          <w:color w:val="000000"/>
          <w:sz w:val="22"/>
          <w:szCs w:val="22"/>
        </w:rPr>
      </w:pPr>
      <w:r>
        <w:rPr>
          <w:rFonts w:ascii="Arial" w:hAnsi="Arial" w:cs="Arial"/>
          <w:color w:val="000000"/>
        </w:rPr>
        <w:t>That Governance Review Group reviews the expenses policy, and options for reducing the cost of Central Council. </w:t>
      </w:r>
    </w:p>
    <w:p w14:paraId="120D460E" w14:textId="77777777" w:rsidR="00B1583B" w:rsidRDefault="00635BD2">
      <w:pPr>
        <w:numPr>
          <w:ilvl w:val="0"/>
          <w:numId w:val="2"/>
        </w:numPr>
        <w:textAlignment w:val="baseline"/>
        <w:rPr>
          <w:rFonts w:ascii="Arial" w:hAnsi="Arial" w:cs="Arial"/>
          <w:color w:val="000000"/>
          <w:sz w:val="22"/>
          <w:szCs w:val="22"/>
        </w:rPr>
      </w:pPr>
      <w:r>
        <w:rPr>
          <w:rFonts w:ascii="Arial" w:hAnsi="Arial" w:cs="Arial"/>
          <w:color w:val="000000"/>
        </w:rPr>
        <w:t xml:space="preserve">The Governance Review Group considers clarifying and possibly reforming the </w:t>
      </w:r>
      <w:r>
        <w:rPr>
          <w:rFonts w:ascii="Arial" w:hAnsi="Arial" w:cs="Arial"/>
          <w:color w:val="000000"/>
        </w:rPr>
        <w:t>financial relationship between the branches and SHA centre.</w:t>
      </w:r>
    </w:p>
    <w:p w14:paraId="22453FBC" w14:textId="77777777" w:rsidR="00B1583B" w:rsidRDefault="00635BD2">
      <w:pPr>
        <w:numPr>
          <w:ilvl w:val="0"/>
          <w:numId w:val="2"/>
        </w:numPr>
        <w:textAlignment w:val="baseline"/>
        <w:rPr>
          <w:rFonts w:ascii="Arial" w:hAnsi="Arial" w:cs="Arial"/>
          <w:color w:val="000000"/>
          <w:sz w:val="22"/>
          <w:szCs w:val="22"/>
        </w:rPr>
      </w:pPr>
      <w:r>
        <w:rPr>
          <w:rFonts w:ascii="Arial" w:hAnsi="Arial" w:cs="Arial"/>
          <w:color w:val="000000"/>
        </w:rPr>
        <w:t>The Governance Review Group reviews SHA staffing and ensures officers formalise this as appropriate. </w:t>
      </w:r>
    </w:p>
    <w:p w14:paraId="55AACF0F" w14:textId="77777777" w:rsidR="00B1583B" w:rsidRDefault="00635BD2">
      <w:pPr>
        <w:numPr>
          <w:ilvl w:val="0"/>
          <w:numId w:val="2"/>
        </w:numPr>
        <w:textAlignment w:val="baseline"/>
        <w:rPr>
          <w:rFonts w:ascii="Arial" w:hAnsi="Arial" w:cs="Arial"/>
          <w:color w:val="000000"/>
          <w:sz w:val="22"/>
          <w:szCs w:val="22"/>
        </w:rPr>
      </w:pPr>
      <w:r>
        <w:rPr>
          <w:rFonts w:ascii="Arial" w:hAnsi="Arial" w:cs="Arial"/>
          <w:color w:val="000000"/>
        </w:rPr>
        <w:t xml:space="preserve">That the officers investigate replacing the present membership and book-keeping system with a </w:t>
      </w:r>
      <w:r>
        <w:rPr>
          <w:rFonts w:ascii="Arial" w:hAnsi="Arial" w:cs="Arial"/>
          <w:color w:val="000000"/>
        </w:rPr>
        <w:t>modern alternative.</w:t>
      </w:r>
    </w:p>
    <w:p w14:paraId="14D66265" w14:textId="77777777" w:rsidR="00B1583B" w:rsidRDefault="00635BD2">
      <w:pPr>
        <w:numPr>
          <w:ilvl w:val="0"/>
          <w:numId w:val="2"/>
        </w:numPr>
        <w:textAlignment w:val="baseline"/>
        <w:rPr>
          <w:rFonts w:ascii="Arial" w:hAnsi="Arial" w:cs="Arial"/>
          <w:color w:val="000000"/>
          <w:sz w:val="22"/>
          <w:szCs w:val="22"/>
        </w:rPr>
      </w:pPr>
      <w:r>
        <w:rPr>
          <w:rFonts w:ascii="Arial" w:hAnsi="Arial" w:cs="Arial"/>
          <w:color w:val="000000"/>
        </w:rPr>
        <w:t>That the Governance Review Group urgently reviews our membership records and systems with a view to preparing our postponed AGM. </w:t>
      </w:r>
    </w:p>
    <w:p w14:paraId="7F897E66" w14:textId="77777777" w:rsidR="00B1583B" w:rsidRDefault="00635BD2">
      <w:pPr>
        <w:numPr>
          <w:ilvl w:val="0"/>
          <w:numId w:val="2"/>
        </w:numPr>
        <w:textAlignment w:val="baseline"/>
        <w:rPr>
          <w:rFonts w:ascii="Arial" w:hAnsi="Arial" w:cs="Arial"/>
          <w:color w:val="000000"/>
          <w:sz w:val="22"/>
          <w:szCs w:val="22"/>
        </w:rPr>
      </w:pPr>
      <w:r>
        <w:rPr>
          <w:rFonts w:ascii="Arial" w:hAnsi="Arial" w:cs="Arial"/>
          <w:color w:val="000000"/>
        </w:rPr>
        <w:t>That the officers should prepare an outline financial plan for 2019 as a matter of urgency and present thi</w:t>
      </w:r>
      <w:r>
        <w:rPr>
          <w:rFonts w:ascii="Arial" w:hAnsi="Arial" w:cs="Arial"/>
          <w:color w:val="000000"/>
        </w:rPr>
        <w:t>s to the Central Council.</w:t>
      </w:r>
    </w:p>
    <w:p w14:paraId="58C31AB8" w14:textId="77777777" w:rsidR="00B1583B" w:rsidRDefault="00B1583B"/>
    <w:p w14:paraId="4FE4F4DC" w14:textId="77777777" w:rsidR="00B1583B" w:rsidRDefault="00B1583B"/>
    <w:p w14:paraId="1D928AF8" w14:textId="77777777" w:rsidR="00B1583B" w:rsidRDefault="00635BD2">
      <w:pPr>
        <w:rPr>
          <w:rFonts w:ascii="Arial" w:hAnsi="Arial"/>
          <w:b/>
          <w:bCs/>
        </w:rPr>
      </w:pPr>
      <w:r>
        <w:rPr>
          <w:rFonts w:ascii="Arial" w:hAnsi="Arial"/>
          <w:b/>
          <w:bCs/>
        </w:rPr>
        <w:t>3</w:t>
      </w:r>
      <w:r>
        <w:rPr>
          <w:rFonts w:ascii="Arial" w:hAnsi="Arial"/>
          <w:b/>
          <w:bCs/>
          <w:vertAlign w:val="superscript"/>
        </w:rPr>
        <w:t>rd</w:t>
      </w:r>
      <w:r>
        <w:rPr>
          <w:rFonts w:ascii="Arial" w:hAnsi="Arial"/>
          <w:b/>
          <w:bCs/>
        </w:rPr>
        <w:t xml:space="preserve"> July 2019</w:t>
      </w:r>
    </w:p>
    <w:sectPr w:rsidR="00B1583B">
      <w:pgSz w:w="11906" w:h="16838"/>
      <w:pgMar w:top="1134"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74B36"/>
    <w:multiLevelType w:val="multilevel"/>
    <w:tmpl w:val="45F404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0B4A1C"/>
    <w:multiLevelType w:val="multilevel"/>
    <w:tmpl w:val="9862645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504707E3"/>
    <w:multiLevelType w:val="multilevel"/>
    <w:tmpl w:val="7D161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3B"/>
    <w:rsid w:val="00635BD2"/>
    <w:rsid w:val="00B1583B"/>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090A"/>
  <w15:docId w15:val="{AD410AB5-14E1-4587-B760-3C69FBA3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Arial" w:hAnsi="Arial"/>
      <w:sz w:val="22"/>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7F6987"/>
    <w:pPr>
      <w:spacing w:beforeAutospacing="1"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Ladbrooke</dc:creator>
  <dc:description/>
  <cp:lastModifiedBy>Jean Hardiman smith</cp:lastModifiedBy>
  <cp:revision>2</cp:revision>
  <dcterms:created xsi:type="dcterms:W3CDTF">2019-07-04T19:22:00Z</dcterms:created>
  <dcterms:modified xsi:type="dcterms:W3CDTF">2019-07-04T19:22:00Z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urn:bails:IntellectualProperty:Authorization:StartValidity">
    <vt:lpwstr>2019-07-03T16:34:38,660000000</vt:lpwstr>
  </property>
  <property fmtid="{D5CDD505-2E9C-101B-9397-08002B2CF9AE}" pid="9" name="urn:bails:IntellectualProperty:Authorization:StopValidity">
    <vt:lpwstr>None</vt:lpwstr>
  </property>
  <property fmtid="{D5CDD505-2E9C-101B-9397-08002B2CF9AE}" pid="10" name="urn:bails:IntellectualProperty:BusinessAuthorization:Identifier">
    <vt:lpwstr>urn:example:tscp:1</vt:lpwstr>
  </property>
  <property fmtid="{D5CDD505-2E9C-101B-9397-08002B2CF9AE}" pid="11" name="urn:bails:IntellectualProperty:BusinessAuthorization:Locator">
    <vt:lpwstr>None</vt:lpwstr>
  </property>
  <property fmtid="{D5CDD505-2E9C-101B-9397-08002B2CF9AE}" pid="12" name="urn:bails:IntellectualProperty:BusinessAuthorization:Name">
    <vt:lpwstr>None</vt:lpwstr>
  </property>
  <property fmtid="{D5CDD505-2E9C-101B-9397-08002B2CF9AE}" pid="13" name="urn:bails:IntellectualProperty:BusinessAuthorizationCategory:Identifier">
    <vt:lpwstr>urn:example:tscp:1:non-business</vt:lpwstr>
  </property>
  <property fmtid="{D5CDD505-2E9C-101B-9397-08002B2CF9AE}" pid="14" name="urn:bails:IntellectualProperty:BusinessAuthorizationCategory:Identifier:OID">
    <vt:lpwstr>None</vt:lpwstr>
  </property>
  <property fmtid="{D5CDD505-2E9C-101B-9397-08002B2CF9AE}" pid="15" name="urn:bails:IntellectualProperty:BusinessAuthorizationCategory:Locator">
    <vt:lpwstr>None</vt:lpwstr>
  </property>
  <property fmtid="{D5CDD505-2E9C-101B-9397-08002B2CF9AE}" pid="16" name="urn:bails:IntellectualProperty:BusinessAuthorizationCategory:Name">
    <vt:lpwstr>Non-Business</vt:lpwstr>
  </property>
  <property fmtid="{D5CDD505-2E9C-101B-9397-08002B2CF9AE}" pid="17" name="urn:bails:IntellectualProperty:Impact:Level:Availability">
    <vt:lpwstr>0</vt:lpwstr>
  </property>
  <property fmtid="{D5CDD505-2E9C-101B-9397-08002B2CF9AE}" pid="18" name="urn:bails:IntellectualProperty:Impact:Level:Confidentiality">
    <vt:lpwstr>0</vt:lpwstr>
  </property>
  <property fmtid="{D5CDD505-2E9C-101B-9397-08002B2CF9AE}" pid="19" name="urn:bails:IntellectualProperty:Impact:Level:Integrity">
    <vt:lpwstr>0</vt:lpwstr>
  </property>
  <property fmtid="{D5CDD505-2E9C-101B-9397-08002B2CF9AE}" pid="20" name="urn:bails:IntellectualProperty:Impact:Scale">
    <vt:lpwstr>UK-Cabinet</vt:lpwstr>
  </property>
  <property fmtid="{D5CDD505-2E9C-101B-9397-08002B2CF9AE}" pid="21" name="urn:bails:IntellectualProperty:Marking:document-footer">
    <vt:lpwstr/>
  </property>
  <property fmtid="{D5CDD505-2E9C-101B-9397-08002B2CF9AE}" pid="22" name="urn:bails:IntellectualProperty:Marking:document-header">
    <vt:lpwstr/>
  </property>
  <property fmtid="{D5CDD505-2E9C-101B-9397-08002B2CF9AE}" pid="23" name="urn:bails:IntellectualProperty:Marking:document-watermark">
    <vt:lpwstr/>
  </property>
  <property fmtid="{D5CDD505-2E9C-101B-9397-08002B2CF9AE}" pid="24" name="urn:bails:IntellectualProperty:Marking:email-first-line-of-text">
    <vt:lpwstr/>
  </property>
  <property fmtid="{D5CDD505-2E9C-101B-9397-08002B2CF9AE}" pid="25" name="urn:bails:IntellectualProperty:Marking:email-last-line-of-text">
    <vt:lpwstr/>
  </property>
  <property fmtid="{D5CDD505-2E9C-101B-9397-08002B2CF9AE}" pid="26" name="urn:bails:IntellectualProperty:Marking:email-subject-prefix">
    <vt:lpwstr/>
  </property>
  <property fmtid="{D5CDD505-2E9C-101B-9397-08002B2CF9AE}" pid="27" name="urn:bails:IntellectualProperty:Marking:email-subject-suffix">
    <vt:lpwstr/>
  </property>
  <property fmtid="{D5CDD505-2E9C-101B-9397-08002B2CF9AE}" pid="28" name="urn:bails:IntellectualProperty:Marking:general-distribution-statement">
    <vt:lpwstr/>
  </property>
  <property fmtid="{D5CDD505-2E9C-101B-9397-08002B2CF9AE}" pid="29" name="urn:bails:IntellectualProperty:Marking:general-distribution-statement:ext:2">
    <vt:lpwstr/>
  </property>
  <property fmtid="{D5CDD505-2E9C-101B-9397-08002B2CF9AE}" pid="30" name="urn:bails:IntellectualProperty:Marking:general-distribution-statement:ext:3">
    <vt:lpwstr/>
  </property>
  <property fmtid="{D5CDD505-2E9C-101B-9397-08002B2CF9AE}" pid="31" name="urn:bails:IntellectualProperty:Marking:general-distribution-statement:ext:4">
    <vt:lpwstr/>
  </property>
  <property fmtid="{D5CDD505-2E9C-101B-9397-08002B2CF9AE}" pid="32" name="urn:bails:IntellectualProperty:Marking:general-summary">
    <vt:lpwstr/>
  </property>
  <property fmtid="{D5CDD505-2E9C-101B-9397-08002B2CF9AE}" pid="33" name="urn:bails:IntellectualProperty:Marking:general-warning-statement">
    <vt:lpwstr/>
  </property>
  <property fmtid="{D5CDD505-2E9C-101B-9397-08002B2CF9AE}" pid="34" name="urn:bails:IntellectualProperty:Marking:general-warning-statement:ext:2">
    <vt:lpwstr/>
  </property>
  <property fmtid="{D5CDD505-2E9C-101B-9397-08002B2CF9AE}" pid="35" name="urn:bails:IntellectualProperty:Marking:general-warning-statement:ext:3">
    <vt:lpwstr/>
  </property>
  <property fmtid="{D5CDD505-2E9C-101B-9397-08002B2CF9AE}" pid="36" name="urn:bails:IntellectualProperty:Marking:general-warning-statement:ext:4">
    <vt:lpwstr/>
  </property>
  <property fmtid="{D5CDD505-2E9C-101B-9397-08002B2CF9AE}" pid="37" name="urn:bails:IntellectualProperty:MarkingPrecedence">
    <vt:lpwstr>None</vt:lpwstr>
  </property>
  <property fmtid="{D5CDD505-2E9C-101B-9397-08002B2CF9AE}" pid="38" name="urn:bails:IntellectualProperty:Policy:Identifier">
    <vt:lpwstr>None</vt:lpwstr>
  </property>
  <property fmtid="{D5CDD505-2E9C-101B-9397-08002B2CF9AE}" pid="39" name="urn:bails:IntellectualProperty:Policy:Name">
    <vt:lpwstr>TSCP Example Policy</vt:lpwstr>
  </property>
  <property fmtid="{D5CDD505-2E9C-101B-9397-08002B2CF9AE}" pid="40" name="urn:bails:IntellectualProperty:PolicyAuthority:Country">
    <vt:lpwstr>None</vt:lpwstr>
  </property>
  <property fmtid="{D5CDD505-2E9C-101B-9397-08002B2CF9AE}" pid="41" name="urn:bails:IntellectualProperty:PolicyAuthority:Identifier">
    <vt:lpwstr>None</vt:lpwstr>
  </property>
  <property fmtid="{D5CDD505-2E9C-101B-9397-08002B2CF9AE}" pid="42" name="urn:bails:IntellectualProperty:PolicyAuthority:Name">
    <vt:lpwstr>TSCP Example Policy Authority</vt:lpwstr>
  </property>
</Properties>
</file>